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DD73F" w14:textId="1ADF4097" w:rsidR="0083422F" w:rsidRDefault="002E70A7" w:rsidP="365D8590">
      <w:pPr>
        <w:spacing w:line="360" w:lineRule="auto"/>
        <w:rPr>
          <w:rFonts w:ascii="Arial" w:hAnsi="Arial" w:cs="Arial"/>
        </w:rPr>
      </w:pPr>
      <w:r>
        <w:rPr>
          <w:rFonts w:ascii="Arial" w:hAnsi="Arial"/>
          <w:sz w:val="40"/>
          <w:szCs w:val="40"/>
        </w:rPr>
        <w:t>Relié intelligemment avec PÖTTINGER CONNECT</w:t>
      </w:r>
    </w:p>
    <w:p w14:paraId="66CAA0F8" w14:textId="4EF151E3" w:rsidR="004B6B24" w:rsidRPr="00D405AB" w:rsidRDefault="00810B77" w:rsidP="00414598">
      <w:pPr>
        <w:spacing w:line="360" w:lineRule="auto"/>
        <w:rPr>
          <w:rFonts w:ascii="Arial" w:hAnsi="Arial" w:cs="Arial"/>
          <w:bCs/>
          <w:color w:val="000000" w:themeColor="text1"/>
          <w:sz w:val="32"/>
          <w:szCs w:val="32"/>
        </w:rPr>
      </w:pPr>
      <w:r>
        <w:rPr>
          <w:rFonts w:ascii="Arial" w:hAnsi="Arial"/>
          <w:bCs/>
          <w:color w:val="000000" w:themeColor="text1"/>
          <w:sz w:val="32"/>
          <w:szCs w:val="32"/>
        </w:rPr>
        <w:t>L'échange de données rentable devient une réalité</w:t>
      </w:r>
    </w:p>
    <w:p w14:paraId="12CEA876" w14:textId="77777777" w:rsidR="0096596C" w:rsidRDefault="0096596C" w:rsidP="000864C3">
      <w:pPr>
        <w:autoSpaceDE w:val="0"/>
        <w:autoSpaceDN w:val="0"/>
        <w:adjustRightInd w:val="0"/>
        <w:spacing w:line="360" w:lineRule="auto"/>
        <w:jc w:val="both"/>
        <w:rPr>
          <w:rFonts w:ascii="Arial" w:hAnsi="Arial"/>
          <w:color w:val="000000" w:themeColor="text1"/>
        </w:rPr>
      </w:pPr>
    </w:p>
    <w:p w14:paraId="58850A09" w14:textId="3B2EB11C" w:rsidR="00D405AB" w:rsidRDefault="00D405AB" w:rsidP="000864C3">
      <w:pPr>
        <w:autoSpaceDE w:val="0"/>
        <w:autoSpaceDN w:val="0"/>
        <w:adjustRightInd w:val="0"/>
        <w:spacing w:line="360" w:lineRule="auto"/>
        <w:jc w:val="both"/>
        <w:rPr>
          <w:rFonts w:ascii="Arial" w:hAnsi="Arial"/>
          <w:color w:val="000000" w:themeColor="text1"/>
        </w:rPr>
      </w:pPr>
      <w:r>
        <w:rPr>
          <w:rFonts w:ascii="Arial" w:hAnsi="Arial"/>
          <w:color w:val="000000" w:themeColor="text1"/>
        </w:rPr>
        <w:t xml:space="preserve">L'unité de télémétrie PÖTTINGER CONNECT permet </w:t>
      </w:r>
      <w:r w:rsidR="005B51C7">
        <w:rPr>
          <w:rFonts w:ascii="Arial" w:hAnsi="Arial"/>
          <w:color w:val="000000" w:themeColor="text1"/>
        </w:rPr>
        <w:t>d’</w:t>
      </w:r>
      <w:r>
        <w:rPr>
          <w:rFonts w:ascii="Arial" w:hAnsi="Arial"/>
          <w:color w:val="000000" w:themeColor="text1"/>
        </w:rPr>
        <w:t>entre</w:t>
      </w:r>
      <w:r w:rsidR="005B51C7">
        <w:rPr>
          <w:rFonts w:ascii="Arial" w:hAnsi="Arial"/>
          <w:color w:val="000000" w:themeColor="text1"/>
        </w:rPr>
        <w:t>r</w:t>
      </w:r>
      <w:r>
        <w:rPr>
          <w:rFonts w:ascii="Arial" w:hAnsi="Arial"/>
          <w:color w:val="000000" w:themeColor="text1"/>
        </w:rPr>
        <w:t xml:space="preserve"> dans le monde des données connectées. Il est ainsi possible de prendre en charge des fonctions de commande, d'enregistrement et de transmission des données sur les machines commandées par ISOBUS. Grâce à son utilisation simple et à une interface de données certifiée, l'unité de télémétrie peut être utilisée rapidement et efficacement. </w:t>
      </w:r>
      <w:r w:rsidRPr="008D398A">
        <w:rPr>
          <w:rFonts w:ascii="Arial" w:hAnsi="Arial"/>
          <w:color w:val="000000" w:themeColor="text1"/>
          <w:highlight w:val="yellow"/>
        </w:rPr>
        <w:t>PÖTTINGER CONNECT est disponible à partir du 1</w:t>
      </w:r>
      <w:r w:rsidRPr="008D398A">
        <w:rPr>
          <w:rFonts w:ascii="Arial" w:hAnsi="Arial"/>
          <w:color w:val="000000" w:themeColor="text1"/>
          <w:highlight w:val="yellow"/>
          <w:vertAlign w:val="superscript"/>
        </w:rPr>
        <w:t>er</w:t>
      </w:r>
      <w:r w:rsidR="008D398A" w:rsidRPr="008D398A">
        <w:rPr>
          <w:rFonts w:ascii="Arial" w:hAnsi="Arial"/>
          <w:color w:val="000000" w:themeColor="text1"/>
          <w:highlight w:val="yellow"/>
        </w:rPr>
        <w:t xml:space="preserve"> </w:t>
      </w:r>
      <w:r w:rsidRPr="008D398A">
        <w:rPr>
          <w:rFonts w:ascii="Arial" w:hAnsi="Arial"/>
          <w:color w:val="000000" w:themeColor="text1"/>
          <w:highlight w:val="yellow"/>
        </w:rPr>
        <w:t>août 2022.</w:t>
      </w:r>
    </w:p>
    <w:p w14:paraId="08E82BAF" w14:textId="77777777" w:rsidR="0096596C" w:rsidRDefault="0096596C" w:rsidP="000864C3">
      <w:pPr>
        <w:autoSpaceDE w:val="0"/>
        <w:autoSpaceDN w:val="0"/>
        <w:adjustRightInd w:val="0"/>
        <w:spacing w:line="360" w:lineRule="auto"/>
        <w:jc w:val="both"/>
        <w:rPr>
          <w:rFonts w:ascii="Arial" w:hAnsi="Arial" w:cs="Arial"/>
          <w:color w:val="000000" w:themeColor="text1"/>
        </w:rPr>
      </w:pPr>
    </w:p>
    <w:p w14:paraId="6BE85D85" w14:textId="77777777" w:rsidR="00EC7920" w:rsidRPr="00EE64E5" w:rsidRDefault="00EC7920" w:rsidP="00EC792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Interface certifiée</w:t>
      </w:r>
    </w:p>
    <w:p w14:paraId="696C4026" w14:textId="4DE09C89" w:rsidR="00C62F68" w:rsidRDefault="00EC7920" w:rsidP="00EC7920">
      <w:pPr>
        <w:autoSpaceDE w:val="0"/>
        <w:autoSpaceDN w:val="0"/>
        <w:adjustRightInd w:val="0"/>
        <w:spacing w:line="360" w:lineRule="auto"/>
        <w:jc w:val="both"/>
        <w:rPr>
          <w:rFonts w:ascii="Arial" w:hAnsi="Arial"/>
          <w:color w:val="000000" w:themeColor="text1"/>
        </w:rPr>
      </w:pPr>
      <w:r>
        <w:rPr>
          <w:rFonts w:ascii="Arial" w:hAnsi="Arial"/>
          <w:color w:val="000000" w:themeColor="text1"/>
        </w:rPr>
        <w:t xml:space="preserve">Le module de télémétrie possède une interface de données certifiée avec l'agrirouter, la plateforme d'échange de données en ligne. Pour une utilisation mondiale, de nombreux systèmes d'information de gestion agricole peuvent être connectés. Avec le dispositif NEXT Machine Management et la cartographie des parcelles agricoles NEXT Farming, PÖTTINGER offre la possibilité de visualiser les données et de les documenter à long terme. L'enregistrement et la transmission automatisés des données garantissent leur sauvegarde durable. Ainsi, </w:t>
      </w:r>
      <w:r>
        <w:rPr>
          <w:rFonts w:ascii="Arial" w:hAnsi="Arial"/>
        </w:rPr>
        <w:t xml:space="preserve">une documentation complète et professionnelle </w:t>
      </w:r>
      <w:r>
        <w:rPr>
          <w:rFonts w:ascii="Arial" w:hAnsi="Arial"/>
          <w:color w:val="000000" w:themeColor="text1"/>
        </w:rPr>
        <w:t>est assurée et le chaos des données est évité.</w:t>
      </w:r>
    </w:p>
    <w:p w14:paraId="3CE203F1" w14:textId="77777777" w:rsidR="0096596C" w:rsidRPr="00EE64E5" w:rsidRDefault="0096596C" w:rsidP="00EC7920">
      <w:pPr>
        <w:autoSpaceDE w:val="0"/>
        <w:autoSpaceDN w:val="0"/>
        <w:adjustRightInd w:val="0"/>
        <w:spacing w:line="360" w:lineRule="auto"/>
        <w:jc w:val="both"/>
        <w:rPr>
          <w:rFonts w:ascii="Arial" w:hAnsi="Arial" w:cs="Arial"/>
          <w:color w:val="000000" w:themeColor="text1"/>
        </w:rPr>
      </w:pPr>
    </w:p>
    <w:p w14:paraId="406727C6" w14:textId="0151D1E7" w:rsidR="00F614CD" w:rsidRPr="00EE64E5" w:rsidRDefault="000131C6" w:rsidP="00E62DF0">
      <w:pPr>
        <w:autoSpaceDE w:val="0"/>
        <w:autoSpaceDN w:val="0"/>
        <w:adjustRightInd w:val="0"/>
        <w:spacing w:line="360" w:lineRule="auto"/>
        <w:jc w:val="both"/>
        <w:rPr>
          <w:rFonts w:ascii="Arial" w:hAnsi="Arial" w:cs="Arial"/>
          <w:b/>
          <w:bCs/>
          <w:color w:val="000000" w:themeColor="text1"/>
        </w:rPr>
      </w:pPr>
      <w:r>
        <w:rPr>
          <w:rFonts w:ascii="Arial" w:hAnsi="Arial"/>
          <w:b/>
          <w:bCs/>
          <w:color w:val="000000" w:themeColor="text1"/>
        </w:rPr>
        <w:t>Service « tout-en-un »</w:t>
      </w:r>
    </w:p>
    <w:p w14:paraId="634E0A60" w14:textId="45BE1C07" w:rsidR="00E62DF0" w:rsidRDefault="00EC7920" w:rsidP="00E62DF0">
      <w:pPr>
        <w:spacing w:line="360" w:lineRule="auto"/>
        <w:jc w:val="both"/>
        <w:rPr>
          <w:rFonts w:ascii="Arial" w:hAnsi="Arial"/>
          <w:color w:val="000000" w:themeColor="text1"/>
        </w:rPr>
      </w:pPr>
      <w:r>
        <w:rPr>
          <w:rFonts w:ascii="Arial" w:hAnsi="Arial"/>
          <w:color w:val="000000" w:themeColor="text1"/>
        </w:rPr>
        <w:t>L'unité de télémétrie et l'outil attelé au tracteur sont commandés par des terminaux compatibles ISOBUS ou par le terminal du tracteur. Pour cela, PÖTTINGER propose une solution adaptée à chaque situation avec ses terminaux intelligents POWER CONTROL, EXPERT 75 et CCI 1200. Avec un seul terminal, une meilleure vue d'ensemble est assurée dans la cabine.</w:t>
      </w:r>
    </w:p>
    <w:p w14:paraId="29460C77" w14:textId="1D2167A6" w:rsidR="0096596C" w:rsidRDefault="0096596C">
      <w:pPr>
        <w:rPr>
          <w:rFonts w:ascii="Arial" w:hAnsi="Arial" w:cs="Arial"/>
          <w:color w:val="000000" w:themeColor="text1"/>
        </w:rPr>
      </w:pPr>
      <w:r>
        <w:rPr>
          <w:rFonts w:ascii="Arial" w:hAnsi="Arial" w:cs="Arial"/>
          <w:color w:val="000000" w:themeColor="text1"/>
        </w:rPr>
        <w:br w:type="page"/>
      </w:r>
    </w:p>
    <w:p w14:paraId="2592084C" w14:textId="77777777" w:rsidR="0096596C" w:rsidRPr="00EE64E5" w:rsidRDefault="0096596C" w:rsidP="00E62DF0">
      <w:pPr>
        <w:spacing w:line="360" w:lineRule="auto"/>
        <w:jc w:val="both"/>
        <w:rPr>
          <w:rFonts w:ascii="Arial" w:hAnsi="Arial" w:cs="Arial"/>
          <w:color w:val="000000" w:themeColor="text1"/>
        </w:rPr>
      </w:pPr>
    </w:p>
    <w:p w14:paraId="64356D32" w14:textId="1D52F12F" w:rsidR="00EC7920" w:rsidRPr="00EE64E5" w:rsidRDefault="00EC7920" w:rsidP="00EC7920">
      <w:pPr>
        <w:spacing w:line="360" w:lineRule="auto"/>
        <w:jc w:val="both"/>
        <w:rPr>
          <w:rFonts w:ascii="Arial" w:hAnsi="Arial" w:cs="Arial"/>
          <w:b/>
          <w:bCs/>
          <w:color w:val="000000" w:themeColor="text1"/>
        </w:rPr>
      </w:pPr>
      <w:r>
        <w:rPr>
          <w:rFonts w:ascii="Arial" w:hAnsi="Arial"/>
          <w:b/>
          <w:bCs/>
          <w:color w:val="000000" w:themeColor="text1"/>
        </w:rPr>
        <w:t>Forte rentabilité</w:t>
      </w:r>
    </w:p>
    <w:p w14:paraId="42833481" w14:textId="036EA248" w:rsidR="00462A2F" w:rsidRDefault="00EC7920" w:rsidP="00FA72A6">
      <w:pPr>
        <w:spacing w:line="360" w:lineRule="auto"/>
        <w:jc w:val="both"/>
        <w:rPr>
          <w:rFonts w:ascii="Arial" w:hAnsi="Arial" w:cs="Arial"/>
          <w:color w:val="000000" w:themeColor="text1"/>
        </w:rPr>
      </w:pPr>
      <w:r>
        <w:rPr>
          <w:rFonts w:ascii="Arial" w:hAnsi="Arial"/>
          <w:color w:val="000000" w:themeColor="text1"/>
        </w:rPr>
        <w:t>PÖTTINGER CONNECT offre la possibilité d'utiliser des applications d'agriculture de précision de manière simple et économique. Le module prend en charge les opérations de contrôle des tâches, ce qui permet de réaliser facilement des applications telles que le contrôle de section (TC-SC) et le contrôle de débit variable (TC-GEO). Cela permet de réduire à la fois le nombre de passages et l'utilisation de moyens de production. Un travail économe en ressources est ainsi garanti.</w:t>
      </w:r>
    </w:p>
    <w:p w14:paraId="32E724BD" w14:textId="77777777" w:rsidR="000131C6" w:rsidRPr="008D398A" w:rsidRDefault="000131C6" w:rsidP="0089510C">
      <w:pPr>
        <w:autoSpaceDE w:val="0"/>
        <w:autoSpaceDN w:val="0"/>
        <w:adjustRightInd w:val="0"/>
        <w:spacing w:line="360" w:lineRule="auto"/>
        <w:jc w:val="both"/>
        <w:rPr>
          <w:rFonts w:ascii="Arial" w:hAnsi="Arial"/>
          <w:b/>
          <w:bCs/>
          <w:lang w:eastAsia="en-US"/>
        </w:rPr>
      </w:pPr>
    </w:p>
    <w:p w14:paraId="33AF92B2" w14:textId="6EE3C41B" w:rsidR="0089510C" w:rsidRDefault="0089510C" w:rsidP="0089510C">
      <w:pPr>
        <w:autoSpaceDE w:val="0"/>
        <w:autoSpaceDN w:val="0"/>
        <w:adjustRightInd w:val="0"/>
        <w:spacing w:line="360" w:lineRule="auto"/>
        <w:jc w:val="both"/>
        <w:rPr>
          <w:rFonts w:ascii="Arial" w:hAnsi="Arial"/>
          <w:b/>
          <w:bCs/>
        </w:rPr>
      </w:pPr>
      <w:r>
        <w:rPr>
          <w:rFonts w:ascii="Arial" w:hAnsi="Arial"/>
          <w:b/>
          <w:bCs/>
        </w:rPr>
        <w:t>Aperçu des photos :</w:t>
      </w:r>
    </w:p>
    <w:p w14:paraId="719B7D78" w14:textId="4D8951BB" w:rsidR="0089510C" w:rsidRDefault="0089510C" w:rsidP="0089510C">
      <w:pPr>
        <w:autoSpaceDE w:val="0"/>
        <w:autoSpaceDN w:val="0"/>
        <w:adjustRightInd w:val="0"/>
        <w:spacing w:line="360" w:lineRule="auto"/>
        <w:jc w:val="both"/>
        <w:rPr>
          <w:rFonts w:ascii="Arial" w:hAnsi="Arial"/>
          <w:b/>
          <w:bCs/>
          <w:lang w:eastAsia="en-US"/>
        </w:rPr>
      </w:pPr>
    </w:p>
    <w:tbl>
      <w:tblPr>
        <w:tblStyle w:val="Grilledutableau"/>
        <w:tblW w:w="8586" w:type="dxa"/>
        <w:tblLayout w:type="fixed"/>
        <w:tblLook w:val="04A0" w:firstRow="1" w:lastRow="0" w:firstColumn="1" w:lastColumn="0" w:noHBand="0" w:noVBand="1"/>
      </w:tblPr>
      <w:tblGrid>
        <w:gridCol w:w="4511"/>
        <w:gridCol w:w="4075"/>
      </w:tblGrid>
      <w:tr w:rsidR="0096596C" w14:paraId="4D12E25F" w14:textId="77777777" w:rsidTr="0096596C">
        <w:trPr>
          <w:trHeight w:val="1516"/>
        </w:trPr>
        <w:tc>
          <w:tcPr>
            <w:tcW w:w="4511" w:type="dxa"/>
            <w:vAlign w:val="center"/>
          </w:tcPr>
          <w:p w14:paraId="4D1423C2" w14:textId="77777777" w:rsidR="0096596C" w:rsidRDefault="0096596C" w:rsidP="0096596C">
            <w:pPr>
              <w:autoSpaceDE w:val="0"/>
              <w:autoSpaceDN w:val="0"/>
              <w:adjustRightInd w:val="0"/>
              <w:spacing w:before="120" w:after="120" w:line="360" w:lineRule="auto"/>
              <w:jc w:val="center"/>
              <w:rPr>
                <w:rFonts w:ascii="Arial" w:hAnsi="Arial"/>
                <w:sz w:val="20"/>
                <w:szCs w:val="20"/>
                <w:lang w:val="de-AT" w:eastAsia="en-US"/>
              </w:rPr>
            </w:pPr>
            <w:r>
              <w:rPr>
                <w:noProof/>
              </w:rPr>
              <w:drawing>
                <wp:inline distT="0" distB="0" distL="0" distR="0" wp14:anchorId="45457168" wp14:editId="141C84A4">
                  <wp:extent cx="1147445" cy="758825"/>
                  <wp:effectExtent l="0" t="0" r="0" b="3175"/>
                  <wp:docPr id="4" name="Grafik 4" descr="Une image contenant herbe, ciel, extérieur, champ&#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fik 4" descr="Une image contenant herbe, ciel, extérieur, champ&#10;&#10;Description générée automatiquemen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c>
          <w:tcPr>
            <w:tcW w:w="4075" w:type="dxa"/>
            <w:vAlign w:val="center"/>
          </w:tcPr>
          <w:p w14:paraId="34E4EADD" w14:textId="77777777" w:rsidR="0096596C" w:rsidRDefault="0096596C" w:rsidP="0096596C">
            <w:pPr>
              <w:autoSpaceDE w:val="0"/>
              <w:autoSpaceDN w:val="0"/>
              <w:adjustRightInd w:val="0"/>
              <w:spacing w:before="120" w:after="120" w:line="360" w:lineRule="auto"/>
              <w:jc w:val="center"/>
              <w:rPr>
                <w:rFonts w:ascii="Arial" w:hAnsi="Arial"/>
                <w:sz w:val="20"/>
                <w:szCs w:val="20"/>
                <w:lang w:val="de-AT" w:eastAsia="en-US"/>
              </w:rPr>
            </w:pPr>
            <w:r>
              <w:rPr>
                <w:noProof/>
              </w:rPr>
              <w:drawing>
                <wp:inline distT="0" distB="0" distL="0" distR="0" wp14:anchorId="25194399" wp14:editId="1819F8D8">
                  <wp:extent cx="1147445" cy="758825"/>
                  <wp:effectExtent l="0" t="0" r="0" b="3175"/>
                  <wp:docPr id="5" name="Grafik 5" descr="Une image contenant herbe, extérieur, ciel, arbr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descr="Une image contenant herbe, extérieur, ciel, arbre&#10;&#10;Description générée automatique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47445" cy="758825"/>
                          </a:xfrm>
                          <a:prstGeom prst="rect">
                            <a:avLst/>
                          </a:prstGeom>
                          <a:noFill/>
                          <a:ln>
                            <a:noFill/>
                          </a:ln>
                        </pic:spPr>
                      </pic:pic>
                    </a:graphicData>
                  </a:graphic>
                </wp:inline>
              </w:drawing>
            </w:r>
          </w:p>
        </w:tc>
      </w:tr>
      <w:tr w:rsidR="0096596C" w:rsidRPr="0096596C" w14:paraId="3DD5CDF3" w14:textId="77777777" w:rsidTr="0096596C">
        <w:trPr>
          <w:trHeight w:val="525"/>
        </w:trPr>
        <w:tc>
          <w:tcPr>
            <w:tcW w:w="4511" w:type="dxa"/>
            <w:vAlign w:val="center"/>
          </w:tcPr>
          <w:p w14:paraId="6883384A" w14:textId="4E6614C1" w:rsidR="0096596C" w:rsidRPr="0096596C" w:rsidRDefault="0096596C" w:rsidP="0096596C">
            <w:pPr>
              <w:autoSpaceDE w:val="0"/>
              <w:autoSpaceDN w:val="0"/>
              <w:adjustRightInd w:val="0"/>
              <w:spacing w:before="120" w:after="120"/>
              <w:jc w:val="center"/>
              <w:rPr>
                <w:rFonts w:ascii="Arial" w:hAnsi="Arial"/>
                <w:sz w:val="22"/>
                <w:szCs w:val="22"/>
                <w:lang w:eastAsia="en-US"/>
              </w:rPr>
            </w:pPr>
            <w:r>
              <w:rPr>
                <w:rFonts w:ascii="Arial" w:hAnsi="Arial"/>
                <w:sz w:val="22"/>
                <w:szCs w:val="22"/>
              </w:rPr>
              <w:t>PÖTTINGER CONNECT pour l'échange économique de données</w:t>
            </w:r>
          </w:p>
        </w:tc>
        <w:tc>
          <w:tcPr>
            <w:tcW w:w="4075" w:type="dxa"/>
            <w:vAlign w:val="center"/>
          </w:tcPr>
          <w:p w14:paraId="0D1370A9" w14:textId="6F8934F2" w:rsidR="0096596C" w:rsidRPr="0096596C" w:rsidRDefault="0096596C" w:rsidP="0096596C">
            <w:pPr>
              <w:autoSpaceDE w:val="0"/>
              <w:autoSpaceDN w:val="0"/>
              <w:adjustRightInd w:val="0"/>
              <w:spacing w:before="120" w:after="120"/>
              <w:jc w:val="center"/>
              <w:rPr>
                <w:rFonts w:ascii="Arial" w:hAnsi="Arial"/>
                <w:sz w:val="22"/>
                <w:szCs w:val="22"/>
                <w:lang w:eastAsia="en-US"/>
              </w:rPr>
            </w:pPr>
            <w:r w:rsidRPr="0096596C">
              <w:rPr>
                <w:rFonts w:ascii="Arial" w:hAnsi="Arial"/>
                <w:sz w:val="22"/>
                <w:szCs w:val="22"/>
                <w:lang w:eastAsia="en-US"/>
              </w:rPr>
              <w:t>PÖTTINGER CONNECT</w:t>
            </w:r>
            <w:r>
              <w:rPr>
                <w:rFonts w:ascii="Arial" w:hAnsi="Arial"/>
                <w:sz w:val="22"/>
                <w:szCs w:val="22"/>
                <w:lang w:eastAsia="en-US"/>
              </w:rPr>
              <w:t>, l’environnement de gestion des données agricoles</w:t>
            </w:r>
          </w:p>
        </w:tc>
      </w:tr>
      <w:tr w:rsidR="0096596C" w:rsidRPr="0096596C" w14:paraId="27D58469" w14:textId="77777777" w:rsidTr="0096596C">
        <w:trPr>
          <w:trHeight w:val="253"/>
        </w:trPr>
        <w:tc>
          <w:tcPr>
            <w:tcW w:w="4511" w:type="dxa"/>
            <w:vAlign w:val="center"/>
          </w:tcPr>
          <w:p w14:paraId="4E4AB2DA" w14:textId="164F6B17" w:rsidR="0096596C" w:rsidRPr="0096596C" w:rsidRDefault="005B51C7" w:rsidP="0096596C">
            <w:pPr>
              <w:autoSpaceDE w:val="0"/>
              <w:autoSpaceDN w:val="0"/>
              <w:adjustRightInd w:val="0"/>
              <w:spacing w:before="120" w:after="120"/>
              <w:jc w:val="center"/>
              <w:rPr>
                <w:rFonts w:ascii="Arial" w:hAnsi="Arial" w:cs="Arial"/>
                <w:sz w:val="20"/>
                <w:szCs w:val="20"/>
              </w:rPr>
            </w:pPr>
            <w:hyperlink r:id="rId13" w:history="1">
              <w:r w:rsidR="0096596C" w:rsidRPr="00BC5EC5">
                <w:rPr>
                  <w:rStyle w:val="Lienhypertexte"/>
                  <w:rFonts w:ascii="Arial" w:hAnsi="Arial" w:cs="Arial"/>
                  <w:sz w:val="20"/>
                  <w:szCs w:val="20"/>
                </w:rPr>
                <w:t>https://www.poettinger.at/fr_fr/Newsroom/Pressebild/5162</w:t>
              </w:r>
            </w:hyperlink>
          </w:p>
        </w:tc>
        <w:tc>
          <w:tcPr>
            <w:tcW w:w="4075" w:type="dxa"/>
            <w:vAlign w:val="center"/>
          </w:tcPr>
          <w:p w14:paraId="22BC2B4A" w14:textId="45A736A3" w:rsidR="0096596C" w:rsidRPr="0096596C" w:rsidRDefault="005B51C7" w:rsidP="0096596C">
            <w:pPr>
              <w:autoSpaceDE w:val="0"/>
              <w:autoSpaceDN w:val="0"/>
              <w:adjustRightInd w:val="0"/>
              <w:spacing w:before="120" w:after="120"/>
              <w:jc w:val="center"/>
              <w:rPr>
                <w:rFonts w:ascii="Arial" w:hAnsi="Arial" w:cs="Arial"/>
                <w:sz w:val="20"/>
                <w:szCs w:val="20"/>
              </w:rPr>
            </w:pPr>
            <w:hyperlink r:id="rId14" w:history="1">
              <w:r w:rsidR="0096596C" w:rsidRPr="0096596C">
                <w:rPr>
                  <w:rStyle w:val="Lienhypertexte"/>
                  <w:rFonts w:ascii="Arial" w:hAnsi="Arial" w:cs="Arial"/>
                  <w:sz w:val="20"/>
                  <w:szCs w:val="20"/>
                </w:rPr>
                <w:t>https://www.poettinger.at/fr_fr/Newsroom/Pressebild/5163</w:t>
              </w:r>
            </w:hyperlink>
          </w:p>
        </w:tc>
      </w:tr>
    </w:tbl>
    <w:p w14:paraId="281159BD" w14:textId="3CAC633B" w:rsidR="0096596C" w:rsidRPr="0096596C" w:rsidRDefault="0096596C" w:rsidP="0089510C">
      <w:pPr>
        <w:autoSpaceDE w:val="0"/>
        <w:autoSpaceDN w:val="0"/>
        <w:adjustRightInd w:val="0"/>
        <w:spacing w:line="360" w:lineRule="auto"/>
        <w:jc w:val="both"/>
        <w:rPr>
          <w:rFonts w:ascii="Arial" w:hAnsi="Arial"/>
          <w:b/>
          <w:bCs/>
          <w:lang w:eastAsia="en-US"/>
        </w:rPr>
      </w:pPr>
    </w:p>
    <w:p w14:paraId="49025F5C" w14:textId="77777777" w:rsidR="0089510C" w:rsidRPr="00E44C5E" w:rsidRDefault="0089510C" w:rsidP="0089510C">
      <w:pPr>
        <w:autoSpaceDE w:val="0"/>
        <w:autoSpaceDN w:val="0"/>
        <w:adjustRightInd w:val="0"/>
        <w:spacing w:line="360" w:lineRule="auto"/>
        <w:rPr>
          <w:rFonts w:ascii="Arial" w:hAnsi="Arial"/>
          <w:sz w:val="22"/>
          <w:szCs w:val="22"/>
        </w:rPr>
      </w:pPr>
      <w:r>
        <w:rPr>
          <w:rFonts w:ascii="Arial" w:hAnsi="Arial"/>
          <w:sz w:val="22"/>
          <w:szCs w:val="22"/>
        </w:rPr>
        <w:t>D'autres photos et images d'illustration sont disponibles en haute définition sur le site internet de PÖTTINGER à l'adresse :</w:t>
      </w:r>
    </w:p>
    <w:p w14:paraId="7B113791" w14:textId="77777777" w:rsidR="0089510C" w:rsidRPr="008D398A" w:rsidRDefault="005B51C7" w:rsidP="0089510C">
      <w:pPr>
        <w:autoSpaceDE w:val="0"/>
        <w:autoSpaceDN w:val="0"/>
        <w:adjustRightInd w:val="0"/>
        <w:spacing w:line="360" w:lineRule="auto"/>
        <w:rPr>
          <w:rFonts w:ascii="Arial" w:hAnsi="Arial" w:cs="Arial"/>
          <w:sz w:val="22"/>
          <w:szCs w:val="22"/>
        </w:rPr>
      </w:pPr>
      <w:hyperlink r:id="rId15" w:history="1">
        <w:r w:rsidR="003131E0" w:rsidRPr="008D398A">
          <w:rPr>
            <w:rStyle w:val="Lienhypertexte"/>
            <w:rFonts w:ascii="Arial" w:hAnsi="Arial" w:cs="Arial"/>
            <w:sz w:val="22"/>
            <w:szCs w:val="22"/>
          </w:rPr>
          <w:t>https://www.poettinger.at/presse</w:t>
        </w:r>
      </w:hyperlink>
    </w:p>
    <w:p w14:paraId="5E8DAC23" w14:textId="77777777" w:rsidR="0089510C" w:rsidRPr="00B71453" w:rsidRDefault="0089510C" w:rsidP="0089510C">
      <w:pPr>
        <w:autoSpaceDE w:val="0"/>
        <w:autoSpaceDN w:val="0"/>
        <w:adjustRightInd w:val="0"/>
        <w:spacing w:line="360" w:lineRule="auto"/>
        <w:rPr>
          <w:rFonts w:ascii="Arial" w:hAnsi="Arial"/>
          <w:sz w:val="20"/>
          <w:szCs w:val="20"/>
          <w:lang w:val="de-AT" w:eastAsia="en-US"/>
        </w:rPr>
      </w:pPr>
    </w:p>
    <w:p w14:paraId="71C1A3D9" w14:textId="77777777" w:rsidR="0089510C" w:rsidRPr="00EE64E5" w:rsidRDefault="0089510C" w:rsidP="00FA72A6">
      <w:pPr>
        <w:spacing w:line="360" w:lineRule="auto"/>
        <w:jc w:val="both"/>
        <w:rPr>
          <w:rFonts w:ascii="Arial" w:hAnsi="Arial" w:cs="Arial"/>
          <w:color w:val="000000" w:themeColor="text1"/>
        </w:rPr>
      </w:pPr>
    </w:p>
    <w:sectPr w:rsidR="0089510C" w:rsidRPr="00EE64E5" w:rsidSect="00612F9A">
      <w:headerReference w:type="default" r:id="rId16"/>
      <w:footerReference w:type="default" r:id="rId17"/>
      <w:pgSz w:w="11906" w:h="16838"/>
      <w:pgMar w:top="1417" w:right="1983" w:bottom="1134" w:left="141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0D41D" w14:textId="77777777" w:rsidR="005D4A7C" w:rsidRDefault="005D4A7C">
      <w:r>
        <w:separator/>
      </w:r>
    </w:p>
  </w:endnote>
  <w:endnote w:type="continuationSeparator" w:id="0">
    <w:p w14:paraId="0F9F2DA7" w14:textId="77777777" w:rsidR="005D4A7C" w:rsidRDefault="005D4A7C">
      <w:r>
        <w:continuationSeparator/>
      </w:r>
    </w:p>
  </w:endnote>
  <w:endnote w:type="continuationNotice" w:id="1">
    <w:p w14:paraId="6D0C1ECF" w14:textId="77777777" w:rsidR="005D4A7C" w:rsidRDefault="005D4A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4AD21" w14:textId="35EDEDD5" w:rsidR="002206BC" w:rsidRDefault="002206BC" w:rsidP="00A33469">
    <w:pPr>
      <w:rPr>
        <w:rFonts w:ascii="Arial" w:hAnsi="Arial"/>
        <w:b/>
        <w:sz w:val="18"/>
        <w:szCs w:val="18"/>
      </w:rPr>
    </w:pPr>
  </w:p>
  <w:p w14:paraId="03C9C6FF" w14:textId="77777777" w:rsidR="000131C6" w:rsidRDefault="000131C6" w:rsidP="00A33469">
    <w:pPr>
      <w:rPr>
        <w:rFonts w:ascii="Arial" w:hAnsi="Arial"/>
        <w:b/>
        <w:sz w:val="18"/>
        <w:szCs w:val="18"/>
      </w:rPr>
    </w:pPr>
  </w:p>
  <w:p w14:paraId="0E7E207A" w14:textId="3CB37ECF" w:rsidR="00A33469" w:rsidRPr="009A3CAD" w:rsidRDefault="00A33469" w:rsidP="00A33469">
    <w:pPr>
      <w:rPr>
        <w:rFonts w:ascii="Arial" w:hAnsi="Arial" w:cs="Arial"/>
        <w:b/>
        <w:sz w:val="18"/>
        <w:szCs w:val="18"/>
      </w:rPr>
    </w:pPr>
    <w:r>
      <w:rPr>
        <w:rFonts w:ascii="Arial" w:hAnsi="Arial"/>
        <w:b/>
        <w:sz w:val="18"/>
        <w:szCs w:val="18"/>
      </w:rPr>
      <w:t>PÖTTINGER Landtechnik GmbH – Communication d'entreprise</w:t>
    </w:r>
  </w:p>
  <w:p w14:paraId="17B09967" w14:textId="77777777" w:rsidR="00A33469" w:rsidRPr="009A3CAD" w:rsidRDefault="00A33469" w:rsidP="00A33469">
    <w:pPr>
      <w:rPr>
        <w:rFonts w:ascii="Arial" w:hAnsi="Arial" w:cs="Arial"/>
        <w:sz w:val="18"/>
        <w:szCs w:val="18"/>
      </w:rPr>
    </w:pPr>
    <w:r>
      <w:rPr>
        <w:rFonts w:ascii="Arial" w:hAnsi="Arial"/>
        <w:sz w:val="18"/>
        <w:szCs w:val="18"/>
      </w:rPr>
      <w:t>Inge Steibl, Industriegelände 1, A-4710 Grieskirchen</w:t>
    </w:r>
  </w:p>
  <w:p w14:paraId="6CF9B6EB" w14:textId="77777777" w:rsidR="00A33469" w:rsidRPr="006708D6" w:rsidRDefault="00A33469" w:rsidP="00A33469">
    <w:pPr>
      <w:pStyle w:val="Pieddepage"/>
    </w:pPr>
    <w:r>
      <w:rPr>
        <w:rFonts w:ascii="Arial" w:hAnsi="Arial"/>
        <w:sz w:val="18"/>
        <w:szCs w:val="18"/>
      </w:rPr>
      <w:t xml:space="preserve">Tél. +43 7248 600-2415, courriel : </w:t>
    </w:r>
    <w:hyperlink r:id="rId1" w:history="1">
      <w:r>
        <w:rPr>
          <w:rFonts w:ascii="Arial" w:hAnsi="Arial"/>
          <w:sz w:val="18"/>
          <w:szCs w:val="18"/>
        </w:rPr>
        <w:t>inge.steibl@poettinger.at</w:t>
      </w:r>
    </w:hyperlink>
    <w:r>
      <w:rPr>
        <w:rFonts w:ascii="Arial" w:hAnsi="Arial"/>
        <w:sz w:val="18"/>
        <w:szCs w:val="18"/>
      </w:rPr>
      <w:t xml:space="preserve">, </w:t>
    </w:r>
    <w:hyperlink r:id="rId2" w:history="1">
      <w:r>
        <w:rPr>
          <w:rFonts w:ascii="Arial" w:hAnsi="Arial"/>
          <w:sz w:val="18"/>
          <w:szCs w:val="18"/>
        </w:rPr>
        <w:t>www.poettinger.at</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F94CA9" w14:textId="77777777" w:rsidR="005D4A7C" w:rsidRDefault="005D4A7C">
      <w:r>
        <w:separator/>
      </w:r>
    </w:p>
  </w:footnote>
  <w:footnote w:type="continuationSeparator" w:id="0">
    <w:p w14:paraId="0AEEA8D9" w14:textId="77777777" w:rsidR="005D4A7C" w:rsidRDefault="005D4A7C">
      <w:r>
        <w:continuationSeparator/>
      </w:r>
    </w:p>
  </w:footnote>
  <w:footnote w:type="continuationNotice" w:id="1">
    <w:p w14:paraId="531A0785" w14:textId="77777777" w:rsidR="005D4A7C" w:rsidRDefault="005D4A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67F720" w14:textId="4D1097C1" w:rsidR="00F6135B" w:rsidRDefault="0089510C" w:rsidP="00B6301F">
    <w:pPr>
      <w:pStyle w:val="En-tte"/>
      <w:jc w:val="center"/>
      <w:rPr>
        <w:sz w:val="28"/>
        <w:szCs w:val="28"/>
      </w:rPr>
    </w:pPr>
    <w:r>
      <w:rPr>
        <w:rFonts w:ascii="Arial" w:hAnsi="Arial"/>
        <w:b/>
        <w:noProof/>
      </w:rPr>
      <w:drawing>
        <wp:anchor distT="0" distB="0" distL="114300" distR="114300" simplePos="0" relativeHeight="251658240" behindDoc="0" locked="0" layoutInCell="1" allowOverlap="1" wp14:anchorId="535747F5" wp14:editId="7FACB992">
          <wp:simplePos x="0" y="0"/>
          <wp:positionH relativeFrom="column">
            <wp:posOffset>3233863</wp:posOffset>
          </wp:positionH>
          <wp:positionV relativeFrom="paragraph">
            <wp:posOffset>129372</wp:posOffset>
          </wp:positionV>
          <wp:extent cx="2186305"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305" cy="228600"/>
                  </a:xfrm>
                  <a:prstGeom prst="rect">
                    <a:avLst/>
                  </a:prstGeom>
                  <a:noFill/>
                  <a:ln w="9525">
                    <a:noFill/>
                    <a:miter lim="800000"/>
                    <a:headEnd/>
                    <a:tailEnd/>
                  </a:ln>
                </pic:spPr>
              </pic:pic>
            </a:graphicData>
          </a:graphic>
        </wp:anchor>
      </w:drawing>
    </w:r>
  </w:p>
  <w:p w14:paraId="65804AA8" w14:textId="1D93E04C" w:rsidR="00F6135B" w:rsidRPr="00A33469" w:rsidRDefault="00A33469" w:rsidP="00A33469">
    <w:pPr>
      <w:pStyle w:val="En-tte"/>
      <w:rPr>
        <w:rFonts w:ascii="Arial" w:hAnsi="Arial" w:cs="Arial"/>
        <w:b/>
      </w:rPr>
    </w:pPr>
    <w:r>
      <w:rPr>
        <w:rFonts w:ascii="Arial" w:hAnsi="Arial"/>
        <w:b/>
      </w:rPr>
      <w:t xml:space="preserve">Communiqué de presse                                       </w:t>
    </w:r>
  </w:p>
  <w:p w14:paraId="05BD0C8A" w14:textId="145ECBDB" w:rsidR="00A33469" w:rsidRDefault="00A33469" w:rsidP="00A33469">
    <w:pPr>
      <w:pStyle w:val="En-tte"/>
      <w:rPr>
        <w:sz w:val="18"/>
        <w:szCs w:val="18"/>
      </w:rPr>
    </w:pPr>
  </w:p>
  <w:p w14:paraId="13BF5D83" w14:textId="77777777" w:rsidR="00414598" w:rsidRDefault="00414598" w:rsidP="00A33469">
    <w:pPr>
      <w:pStyle w:val="En-tte"/>
      <w:rPr>
        <w:sz w:val="18"/>
        <w:szCs w:val="18"/>
      </w:rPr>
    </w:pPr>
  </w:p>
  <w:p w14:paraId="4096C720" w14:textId="77777777" w:rsidR="007347D6" w:rsidRPr="007347D6" w:rsidRDefault="007347D6" w:rsidP="00A33469">
    <w:pPr>
      <w:pStyle w:val="En-tte"/>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747A4"/>
    <w:multiLevelType w:val="hybridMultilevel"/>
    <w:tmpl w:val="1902E76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F16B22"/>
    <w:multiLevelType w:val="hybridMultilevel"/>
    <w:tmpl w:val="1E562CFC"/>
    <w:lvl w:ilvl="0" w:tplc="04070001">
      <w:numFmt w:val="bullet"/>
      <w:lvlText w:val=""/>
      <w:lvlJc w:val="left"/>
      <w:pPr>
        <w:ind w:left="1920" w:hanging="360"/>
      </w:pPr>
      <w:rPr>
        <w:rFonts w:ascii="Symbol" w:eastAsia="Times New Roman" w:hAnsi="Symbol" w:cs="Times New Roman" w:hint="default"/>
      </w:rPr>
    </w:lvl>
    <w:lvl w:ilvl="1" w:tplc="04070003" w:tentative="1">
      <w:start w:val="1"/>
      <w:numFmt w:val="bullet"/>
      <w:lvlText w:val="o"/>
      <w:lvlJc w:val="left"/>
      <w:pPr>
        <w:ind w:left="2640" w:hanging="360"/>
      </w:pPr>
      <w:rPr>
        <w:rFonts w:ascii="Courier New" w:hAnsi="Courier New" w:cs="Courier New" w:hint="default"/>
      </w:rPr>
    </w:lvl>
    <w:lvl w:ilvl="2" w:tplc="04070005" w:tentative="1">
      <w:start w:val="1"/>
      <w:numFmt w:val="bullet"/>
      <w:lvlText w:val=""/>
      <w:lvlJc w:val="left"/>
      <w:pPr>
        <w:ind w:left="3360" w:hanging="360"/>
      </w:pPr>
      <w:rPr>
        <w:rFonts w:ascii="Wingdings" w:hAnsi="Wingdings" w:hint="default"/>
      </w:rPr>
    </w:lvl>
    <w:lvl w:ilvl="3" w:tplc="04070001" w:tentative="1">
      <w:start w:val="1"/>
      <w:numFmt w:val="bullet"/>
      <w:lvlText w:val=""/>
      <w:lvlJc w:val="left"/>
      <w:pPr>
        <w:ind w:left="4080" w:hanging="360"/>
      </w:pPr>
      <w:rPr>
        <w:rFonts w:ascii="Symbol" w:hAnsi="Symbol" w:hint="default"/>
      </w:rPr>
    </w:lvl>
    <w:lvl w:ilvl="4" w:tplc="04070003" w:tentative="1">
      <w:start w:val="1"/>
      <w:numFmt w:val="bullet"/>
      <w:lvlText w:val="o"/>
      <w:lvlJc w:val="left"/>
      <w:pPr>
        <w:ind w:left="4800" w:hanging="360"/>
      </w:pPr>
      <w:rPr>
        <w:rFonts w:ascii="Courier New" w:hAnsi="Courier New" w:cs="Courier New" w:hint="default"/>
      </w:rPr>
    </w:lvl>
    <w:lvl w:ilvl="5" w:tplc="04070005" w:tentative="1">
      <w:start w:val="1"/>
      <w:numFmt w:val="bullet"/>
      <w:lvlText w:val=""/>
      <w:lvlJc w:val="left"/>
      <w:pPr>
        <w:ind w:left="5520" w:hanging="360"/>
      </w:pPr>
      <w:rPr>
        <w:rFonts w:ascii="Wingdings" w:hAnsi="Wingdings" w:hint="default"/>
      </w:rPr>
    </w:lvl>
    <w:lvl w:ilvl="6" w:tplc="04070001" w:tentative="1">
      <w:start w:val="1"/>
      <w:numFmt w:val="bullet"/>
      <w:lvlText w:val=""/>
      <w:lvlJc w:val="left"/>
      <w:pPr>
        <w:ind w:left="6240" w:hanging="360"/>
      </w:pPr>
      <w:rPr>
        <w:rFonts w:ascii="Symbol" w:hAnsi="Symbol" w:hint="default"/>
      </w:rPr>
    </w:lvl>
    <w:lvl w:ilvl="7" w:tplc="04070003" w:tentative="1">
      <w:start w:val="1"/>
      <w:numFmt w:val="bullet"/>
      <w:lvlText w:val="o"/>
      <w:lvlJc w:val="left"/>
      <w:pPr>
        <w:ind w:left="6960" w:hanging="360"/>
      </w:pPr>
      <w:rPr>
        <w:rFonts w:ascii="Courier New" w:hAnsi="Courier New" w:cs="Courier New" w:hint="default"/>
      </w:rPr>
    </w:lvl>
    <w:lvl w:ilvl="8" w:tplc="04070005" w:tentative="1">
      <w:start w:val="1"/>
      <w:numFmt w:val="bullet"/>
      <w:lvlText w:val=""/>
      <w:lvlJc w:val="left"/>
      <w:pPr>
        <w:ind w:left="7680" w:hanging="360"/>
      </w:pPr>
      <w:rPr>
        <w:rFonts w:ascii="Wingdings" w:hAnsi="Wingdings" w:hint="default"/>
      </w:rPr>
    </w:lvl>
  </w:abstractNum>
  <w:abstractNum w:abstractNumId="2" w15:restartNumberingAfterBreak="0">
    <w:nsid w:val="2EB93E20"/>
    <w:multiLevelType w:val="hybridMultilevel"/>
    <w:tmpl w:val="126AE10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8CE467F"/>
    <w:multiLevelType w:val="hybridMultilevel"/>
    <w:tmpl w:val="EE4099F0"/>
    <w:lvl w:ilvl="0" w:tplc="5DECACFC">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B6C"/>
    <w:rsid w:val="00001E74"/>
    <w:rsid w:val="00003CD7"/>
    <w:rsid w:val="00004BD2"/>
    <w:rsid w:val="0001245C"/>
    <w:rsid w:val="000131C6"/>
    <w:rsid w:val="000338E7"/>
    <w:rsid w:val="00052CCB"/>
    <w:rsid w:val="00054BEF"/>
    <w:rsid w:val="0006101C"/>
    <w:rsid w:val="0006323B"/>
    <w:rsid w:val="00067A58"/>
    <w:rsid w:val="00075E15"/>
    <w:rsid w:val="0008092E"/>
    <w:rsid w:val="000864C3"/>
    <w:rsid w:val="0008725B"/>
    <w:rsid w:val="00094D95"/>
    <w:rsid w:val="000A0C45"/>
    <w:rsid w:val="000B1E39"/>
    <w:rsid w:val="000B69A9"/>
    <w:rsid w:val="000C376F"/>
    <w:rsid w:val="000C4186"/>
    <w:rsid w:val="000C78C6"/>
    <w:rsid w:val="000D0752"/>
    <w:rsid w:val="000E00AA"/>
    <w:rsid w:val="000E175B"/>
    <w:rsid w:val="000E183F"/>
    <w:rsid w:val="000E6F80"/>
    <w:rsid w:val="000F5EDD"/>
    <w:rsid w:val="00103B8C"/>
    <w:rsid w:val="00107182"/>
    <w:rsid w:val="00110DAA"/>
    <w:rsid w:val="00123C17"/>
    <w:rsid w:val="001242D5"/>
    <w:rsid w:val="0012432F"/>
    <w:rsid w:val="001315F0"/>
    <w:rsid w:val="0013171C"/>
    <w:rsid w:val="001326CF"/>
    <w:rsid w:val="00147133"/>
    <w:rsid w:val="00153034"/>
    <w:rsid w:val="001533F7"/>
    <w:rsid w:val="00153793"/>
    <w:rsid w:val="00154088"/>
    <w:rsid w:val="00157C31"/>
    <w:rsid w:val="001633A8"/>
    <w:rsid w:val="001767A9"/>
    <w:rsid w:val="0018043B"/>
    <w:rsid w:val="001A5BB6"/>
    <w:rsid w:val="001B0398"/>
    <w:rsid w:val="001B4567"/>
    <w:rsid w:val="001C18EE"/>
    <w:rsid w:val="001D25D1"/>
    <w:rsid w:val="001E4E35"/>
    <w:rsid w:val="001E6539"/>
    <w:rsid w:val="001E6D60"/>
    <w:rsid w:val="00203C0E"/>
    <w:rsid w:val="002109F4"/>
    <w:rsid w:val="0021171F"/>
    <w:rsid w:val="00216CB5"/>
    <w:rsid w:val="002206BC"/>
    <w:rsid w:val="0026193E"/>
    <w:rsid w:val="00275C70"/>
    <w:rsid w:val="00293379"/>
    <w:rsid w:val="002A3805"/>
    <w:rsid w:val="002A5C47"/>
    <w:rsid w:val="002B13AC"/>
    <w:rsid w:val="002B7179"/>
    <w:rsid w:val="002C3B18"/>
    <w:rsid w:val="002C4B47"/>
    <w:rsid w:val="002D1F50"/>
    <w:rsid w:val="002D5D83"/>
    <w:rsid w:val="002E03EA"/>
    <w:rsid w:val="002E0B83"/>
    <w:rsid w:val="002E186E"/>
    <w:rsid w:val="002E3BFE"/>
    <w:rsid w:val="002E70A7"/>
    <w:rsid w:val="002F5C71"/>
    <w:rsid w:val="00312EDE"/>
    <w:rsid w:val="003131E0"/>
    <w:rsid w:val="003315A8"/>
    <w:rsid w:val="00332D47"/>
    <w:rsid w:val="003413D1"/>
    <w:rsid w:val="00346181"/>
    <w:rsid w:val="003557F2"/>
    <w:rsid w:val="00355823"/>
    <w:rsid w:val="00362788"/>
    <w:rsid w:val="00367F48"/>
    <w:rsid w:val="0037057E"/>
    <w:rsid w:val="00373AF1"/>
    <w:rsid w:val="00375203"/>
    <w:rsid w:val="00384823"/>
    <w:rsid w:val="0039157C"/>
    <w:rsid w:val="00391C56"/>
    <w:rsid w:val="003A50F6"/>
    <w:rsid w:val="003A6489"/>
    <w:rsid w:val="003A7807"/>
    <w:rsid w:val="003B2D4F"/>
    <w:rsid w:val="003B3177"/>
    <w:rsid w:val="003B4437"/>
    <w:rsid w:val="003B700E"/>
    <w:rsid w:val="003C037E"/>
    <w:rsid w:val="003C0F16"/>
    <w:rsid w:val="003D2440"/>
    <w:rsid w:val="003D48F8"/>
    <w:rsid w:val="003D5FB7"/>
    <w:rsid w:val="003F10CC"/>
    <w:rsid w:val="003F77C8"/>
    <w:rsid w:val="00404DBC"/>
    <w:rsid w:val="00406BAD"/>
    <w:rsid w:val="00414598"/>
    <w:rsid w:val="004175B7"/>
    <w:rsid w:val="00423E68"/>
    <w:rsid w:val="0042570E"/>
    <w:rsid w:val="00430355"/>
    <w:rsid w:val="004366DC"/>
    <w:rsid w:val="00442603"/>
    <w:rsid w:val="00447796"/>
    <w:rsid w:val="0045412B"/>
    <w:rsid w:val="004543D8"/>
    <w:rsid w:val="0045500E"/>
    <w:rsid w:val="00462A2F"/>
    <w:rsid w:val="00476817"/>
    <w:rsid w:val="00486669"/>
    <w:rsid w:val="004875CA"/>
    <w:rsid w:val="004903CF"/>
    <w:rsid w:val="00490774"/>
    <w:rsid w:val="004926FF"/>
    <w:rsid w:val="004976B9"/>
    <w:rsid w:val="004A5DD7"/>
    <w:rsid w:val="004B4370"/>
    <w:rsid w:val="004B6B24"/>
    <w:rsid w:val="004C3543"/>
    <w:rsid w:val="004C5572"/>
    <w:rsid w:val="004E5FB1"/>
    <w:rsid w:val="0050076D"/>
    <w:rsid w:val="00511899"/>
    <w:rsid w:val="00525109"/>
    <w:rsid w:val="005275CE"/>
    <w:rsid w:val="005343C2"/>
    <w:rsid w:val="005675E1"/>
    <w:rsid w:val="005730C2"/>
    <w:rsid w:val="0057696D"/>
    <w:rsid w:val="00592D76"/>
    <w:rsid w:val="005955B1"/>
    <w:rsid w:val="00596CAB"/>
    <w:rsid w:val="005A6C4B"/>
    <w:rsid w:val="005B51C7"/>
    <w:rsid w:val="005B59C6"/>
    <w:rsid w:val="005C2872"/>
    <w:rsid w:val="005D0415"/>
    <w:rsid w:val="005D2ABC"/>
    <w:rsid w:val="005D4A7C"/>
    <w:rsid w:val="005E0A15"/>
    <w:rsid w:val="005E1CDF"/>
    <w:rsid w:val="005E553A"/>
    <w:rsid w:val="005E68AE"/>
    <w:rsid w:val="005F0F25"/>
    <w:rsid w:val="005F0FE4"/>
    <w:rsid w:val="005F3ACC"/>
    <w:rsid w:val="00601F64"/>
    <w:rsid w:val="0061275B"/>
    <w:rsid w:val="00612F9A"/>
    <w:rsid w:val="00620DF7"/>
    <w:rsid w:val="00622E67"/>
    <w:rsid w:val="00632BBA"/>
    <w:rsid w:val="0063542C"/>
    <w:rsid w:val="00637334"/>
    <w:rsid w:val="00653987"/>
    <w:rsid w:val="00660ED3"/>
    <w:rsid w:val="00666B75"/>
    <w:rsid w:val="00670305"/>
    <w:rsid w:val="006708D6"/>
    <w:rsid w:val="0067161C"/>
    <w:rsid w:val="00676E04"/>
    <w:rsid w:val="0068251D"/>
    <w:rsid w:val="00685757"/>
    <w:rsid w:val="006873DD"/>
    <w:rsid w:val="006A3FCC"/>
    <w:rsid w:val="006A4750"/>
    <w:rsid w:val="006A654D"/>
    <w:rsid w:val="006B10E3"/>
    <w:rsid w:val="006D02D5"/>
    <w:rsid w:val="006D0AFD"/>
    <w:rsid w:val="006D1D8E"/>
    <w:rsid w:val="006D4475"/>
    <w:rsid w:val="006D6EB8"/>
    <w:rsid w:val="006D778D"/>
    <w:rsid w:val="006E73CB"/>
    <w:rsid w:val="006E74FC"/>
    <w:rsid w:val="006F310F"/>
    <w:rsid w:val="006F4222"/>
    <w:rsid w:val="00706966"/>
    <w:rsid w:val="007169FF"/>
    <w:rsid w:val="007175BF"/>
    <w:rsid w:val="007203DB"/>
    <w:rsid w:val="00730F0F"/>
    <w:rsid w:val="00732A23"/>
    <w:rsid w:val="007347D6"/>
    <w:rsid w:val="007434F1"/>
    <w:rsid w:val="00745242"/>
    <w:rsid w:val="007533E0"/>
    <w:rsid w:val="00755263"/>
    <w:rsid w:val="00755544"/>
    <w:rsid w:val="00755EA3"/>
    <w:rsid w:val="0077089D"/>
    <w:rsid w:val="00771D12"/>
    <w:rsid w:val="0077431C"/>
    <w:rsid w:val="0077728A"/>
    <w:rsid w:val="00782634"/>
    <w:rsid w:val="007835CA"/>
    <w:rsid w:val="00787A1C"/>
    <w:rsid w:val="007916C0"/>
    <w:rsid w:val="007A1C5C"/>
    <w:rsid w:val="007C10D3"/>
    <w:rsid w:val="007C6109"/>
    <w:rsid w:val="007C6C62"/>
    <w:rsid w:val="007D749A"/>
    <w:rsid w:val="007E1715"/>
    <w:rsid w:val="007F1D56"/>
    <w:rsid w:val="00802724"/>
    <w:rsid w:val="00810B77"/>
    <w:rsid w:val="0081328C"/>
    <w:rsid w:val="008140E6"/>
    <w:rsid w:val="00821223"/>
    <w:rsid w:val="0082204D"/>
    <w:rsid w:val="008257ED"/>
    <w:rsid w:val="0083422F"/>
    <w:rsid w:val="008447BF"/>
    <w:rsid w:val="008604AA"/>
    <w:rsid w:val="00862A4C"/>
    <w:rsid w:val="008660F2"/>
    <w:rsid w:val="00873B1A"/>
    <w:rsid w:val="00874A74"/>
    <w:rsid w:val="008833D8"/>
    <w:rsid w:val="00886C37"/>
    <w:rsid w:val="00893336"/>
    <w:rsid w:val="0089510C"/>
    <w:rsid w:val="0089626E"/>
    <w:rsid w:val="008974BC"/>
    <w:rsid w:val="008A1713"/>
    <w:rsid w:val="008A66D8"/>
    <w:rsid w:val="008B21B0"/>
    <w:rsid w:val="008B4067"/>
    <w:rsid w:val="008B5DB9"/>
    <w:rsid w:val="008C4EB5"/>
    <w:rsid w:val="008C53BC"/>
    <w:rsid w:val="008D1437"/>
    <w:rsid w:val="008D24DA"/>
    <w:rsid w:val="008D398A"/>
    <w:rsid w:val="008F5828"/>
    <w:rsid w:val="008F6200"/>
    <w:rsid w:val="00903490"/>
    <w:rsid w:val="00923BD4"/>
    <w:rsid w:val="00924B69"/>
    <w:rsid w:val="009277B7"/>
    <w:rsid w:val="009305EE"/>
    <w:rsid w:val="00930FB6"/>
    <w:rsid w:val="009313FB"/>
    <w:rsid w:val="00932935"/>
    <w:rsid w:val="00940DE6"/>
    <w:rsid w:val="00941FE8"/>
    <w:rsid w:val="00942A9D"/>
    <w:rsid w:val="00943843"/>
    <w:rsid w:val="009616F2"/>
    <w:rsid w:val="00964E22"/>
    <w:rsid w:val="0096596C"/>
    <w:rsid w:val="009664A4"/>
    <w:rsid w:val="00970DEF"/>
    <w:rsid w:val="0097430F"/>
    <w:rsid w:val="00974D5C"/>
    <w:rsid w:val="009756E6"/>
    <w:rsid w:val="00994EF0"/>
    <w:rsid w:val="009A0AC8"/>
    <w:rsid w:val="009A2DC9"/>
    <w:rsid w:val="009A7A31"/>
    <w:rsid w:val="009C61EB"/>
    <w:rsid w:val="009F08D4"/>
    <w:rsid w:val="00A048D0"/>
    <w:rsid w:val="00A101D8"/>
    <w:rsid w:val="00A12CF4"/>
    <w:rsid w:val="00A137AD"/>
    <w:rsid w:val="00A1615D"/>
    <w:rsid w:val="00A207E6"/>
    <w:rsid w:val="00A27398"/>
    <w:rsid w:val="00A33469"/>
    <w:rsid w:val="00A532AA"/>
    <w:rsid w:val="00A56911"/>
    <w:rsid w:val="00A56E6F"/>
    <w:rsid w:val="00A62A5F"/>
    <w:rsid w:val="00A70398"/>
    <w:rsid w:val="00A71186"/>
    <w:rsid w:val="00A71F84"/>
    <w:rsid w:val="00A7672E"/>
    <w:rsid w:val="00A92AAE"/>
    <w:rsid w:val="00A968C1"/>
    <w:rsid w:val="00AB548C"/>
    <w:rsid w:val="00AB731A"/>
    <w:rsid w:val="00AE6FB7"/>
    <w:rsid w:val="00AE71D5"/>
    <w:rsid w:val="00AF1C35"/>
    <w:rsid w:val="00B03428"/>
    <w:rsid w:val="00B03A21"/>
    <w:rsid w:val="00B13543"/>
    <w:rsid w:val="00B16EDD"/>
    <w:rsid w:val="00B22996"/>
    <w:rsid w:val="00B24F7F"/>
    <w:rsid w:val="00B30309"/>
    <w:rsid w:val="00B40A89"/>
    <w:rsid w:val="00B41844"/>
    <w:rsid w:val="00B56778"/>
    <w:rsid w:val="00B6301F"/>
    <w:rsid w:val="00B6724B"/>
    <w:rsid w:val="00B71154"/>
    <w:rsid w:val="00B71453"/>
    <w:rsid w:val="00B732AD"/>
    <w:rsid w:val="00B90730"/>
    <w:rsid w:val="00B9619F"/>
    <w:rsid w:val="00BB243A"/>
    <w:rsid w:val="00BD1B2C"/>
    <w:rsid w:val="00BD6F76"/>
    <w:rsid w:val="00BD7AA2"/>
    <w:rsid w:val="00C076DA"/>
    <w:rsid w:val="00C110FC"/>
    <w:rsid w:val="00C20E9B"/>
    <w:rsid w:val="00C23B0B"/>
    <w:rsid w:val="00C23E34"/>
    <w:rsid w:val="00C32DA7"/>
    <w:rsid w:val="00C44190"/>
    <w:rsid w:val="00C46520"/>
    <w:rsid w:val="00C526E1"/>
    <w:rsid w:val="00C5525D"/>
    <w:rsid w:val="00C60021"/>
    <w:rsid w:val="00C62F68"/>
    <w:rsid w:val="00C650D6"/>
    <w:rsid w:val="00C65B2A"/>
    <w:rsid w:val="00C70AF0"/>
    <w:rsid w:val="00C7341E"/>
    <w:rsid w:val="00C73BD0"/>
    <w:rsid w:val="00C76846"/>
    <w:rsid w:val="00C77B64"/>
    <w:rsid w:val="00C80C1E"/>
    <w:rsid w:val="00C81208"/>
    <w:rsid w:val="00C87412"/>
    <w:rsid w:val="00C87D43"/>
    <w:rsid w:val="00CC02F9"/>
    <w:rsid w:val="00CD0229"/>
    <w:rsid w:val="00CD382D"/>
    <w:rsid w:val="00CD73DD"/>
    <w:rsid w:val="00CE48DE"/>
    <w:rsid w:val="00CF151D"/>
    <w:rsid w:val="00D01EC4"/>
    <w:rsid w:val="00D221DA"/>
    <w:rsid w:val="00D30F65"/>
    <w:rsid w:val="00D32ED4"/>
    <w:rsid w:val="00D405AB"/>
    <w:rsid w:val="00D43357"/>
    <w:rsid w:val="00D4539E"/>
    <w:rsid w:val="00D47146"/>
    <w:rsid w:val="00D60985"/>
    <w:rsid w:val="00D724B4"/>
    <w:rsid w:val="00D74D6D"/>
    <w:rsid w:val="00D82BD6"/>
    <w:rsid w:val="00D856D2"/>
    <w:rsid w:val="00D9534B"/>
    <w:rsid w:val="00D95DC9"/>
    <w:rsid w:val="00DA00FD"/>
    <w:rsid w:val="00DA4503"/>
    <w:rsid w:val="00DB1573"/>
    <w:rsid w:val="00DB460F"/>
    <w:rsid w:val="00DD1ABC"/>
    <w:rsid w:val="00DD25A2"/>
    <w:rsid w:val="00DD49A7"/>
    <w:rsid w:val="00E04E03"/>
    <w:rsid w:val="00E11A22"/>
    <w:rsid w:val="00E12355"/>
    <w:rsid w:val="00E13357"/>
    <w:rsid w:val="00E1442C"/>
    <w:rsid w:val="00E235AD"/>
    <w:rsid w:val="00E27B42"/>
    <w:rsid w:val="00E3263D"/>
    <w:rsid w:val="00E4067D"/>
    <w:rsid w:val="00E41CBD"/>
    <w:rsid w:val="00E44C5E"/>
    <w:rsid w:val="00E546AA"/>
    <w:rsid w:val="00E62DF0"/>
    <w:rsid w:val="00E63B6C"/>
    <w:rsid w:val="00E63ED4"/>
    <w:rsid w:val="00E74C10"/>
    <w:rsid w:val="00E761A8"/>
    <w:rsid w:val="00E7667C"/>
    <w:rsid w:val="00E96845"/>
    <w:rsid w:val="00EA113E"/>
    <w:rsid w:val="00EA32EE"/>
    <w:rsid w:val="00EB3FBB"/>
    <w:rsid w:val="00EC062A"/>
    <w:rsid w:val="00EC6F0F"/>
    <w:rsid w:val="00EC7920"/>
    <w:rsid w:val="00EE0BDF"/>
    <w:rsid w:val="00EE64E5"/>
    <w:rsid w:val="00EF316A"/>
    <w:rsid w:val="00F02A39"/>
    <w:rsid w:val="00F04197"/>
    <w:rsid w:val="00F145D0"/>
    <w:rsid w:val="00F27478"/>
    <w:rsid w:val="00F314C6"/>
    <w:rsid w:val="00F32614"/>
    <w:rsid w:val="00F336F8"/>
    <w:rsid w:val="00F57617"/>
    <w:rsid w:val="00F60C2E"/>
    <w:rsid w:val="00F6135B"/>
    <w:rsid w:val="00F614CD"/>
    <w:rsid w:val="00F70C77"/>
    <w:rsid w:val="00F731AC"/>
    <w:rsid w:val="00F73B69"/>
    <w:rsid w:val="00F82BF1"/>
    <w:rsid w:val="00F868AE"/>
    <w:rsid w:val="00F974A4"/>
    <w:rsid w:val="00FA393F"/>
    <w:rsid w:val="00FA72A6"/>
    <w:rsid w:val="00FD56A1"/>
    <w:rsid w:val="00FE2352"/>
    <w:rsid w:val="00FE5BA3"/>
    <w:rsid w:val="00FF10FB"/>
    <w:rsid w:val="00FF2D9A"/>
    <w:rsid w:val="00FF7B36"/>
    <w:rsid w:val="365D859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06C0DC0"/>
  <w15:chartTrackingRefBased/>
  <w15:docId w15:val="{245D4CBC-B713-404C-82A8-05875640D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A72A6"/>
    <w:rPr>
      <w:sz w:val="24"/>
      <w:szCs w:val="24"/>
    </w:rPr>
  </w:style>
  <w:style w:type="paragraph" w:styleId="Titre5">
    <w:name w:val="heading 5"/>
    <w:basedOn w:val="Normal"/>
    <w:next w:val="Normal"/>
    <w:qFormat/>
    <w:rsid w:val="00B6301F"/>
    <w:pPr>
      <w:keepNext/>
      <w:jc w:val="center"/>
      <w:outlineLvl w:val="4"/>
    </w:pPr>
    <w:rPr>
      <w:rFonts w:ascii="Arial" w:hAnsi="Arial"/>
      <w:sz w:val="72"/>
      <w:szCs w:val="20"/>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B6301F"/>
    <w:pPr>
      <w:tabs>
        <w:tab w:val="center" w:pos="4536"/>
        <w:tab w:val="right" w:pos="9072"/>
      </w:tabs>
    </w:pPr>
  </w:style>
  <w:style w:type="paragraph" w:styleId="Pieddepage">
    <w:name w:val="footer"/>
    <w:basedOn w:val="Normal"/>
    <w:rsid w:val="00B6301F"/>
    <w:pPr>
      <w:tabs>
        <w:tab w:val="center" w:pos="4536"/>
        <w:tab w:val="right" w:pos="9072"/>
      </w:tabs>
    </w:pPr>
  </w:style>
  <w:style w:type="character" w:styleId="Lienhypertexte">
    <w:name w:val="Hyperlink"/>
    <w:rsid w:val="00B6301F"/>
    <w:rPr>
      <w:color w:val="0000FF"/>
      <w:u w:val="single"/>
    </w:rPr>
  </w:style>
  <w:style w:type="paragraph" w:styleId="Corpsdetexte3">
    <w:name w:val="Body Text 3"/>
    <w:basedOn w:val="Normal"/>
    <w:rsid w:val="00107182"/>
    <w:pPr>
      <w:spacing w:after="120"/>
    </w:pPr>
    <w:rPr>
      <w:sz w:val="16"/>
      <w:szCs w:val="16"/>
      <w:lang w:eastAsia="en-US"/>
    </w:rPr>
  </w:style>
  <w:style w:type="table" w:styleId="Grilledutableau">
    <w:name w:val="Table Grid"/>
    <w:basedOn w:val="TableauNormal"/>
    <w:uiPriority w:val="39"/>
    <w:rsid w:val="00EA32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9A0AC8"/>
    <w:rPr>
      <w:rFonts w:ascii="Segoe UI" w:hAnsi="Segoe UI" w:cs="Segoe UI"/>
      <w:sz w:val="18"/>
      <w:szCs w:val="18"/>
    </w:rPr>
  </w:style>
  <w:style w:type="character" w:customStyle="1" w:styleId="TextedebullesCar">
    <w:name w:val="Texte de bulles Car"/>
    <w:link w:val="Textedebulles"/>
    <w:uiPriority w:val="99"/>
    <w:semiHidden/>
    <w:rsid w:val="009A0AC8"/>
    <w:rPr>
      <w:rFonts w:ascii="Segoe UI" w:hAnsi="Segoe UI" w:cs="Segoe UI"/>
      <w:sz w:val="18"/>
      <w:szCs w:val="18"/>
    </w:rPr>
  </w:style>
  <w:style w:type="character" w:styleId="Mentionnonrsolue">
    <w:name w:val="Unresolved Mention"/>
    <w:basedOn w:val="Policepardfaut"/>
    <w:uiPriority w:val="99"/>
    <w:semiHidden/>
    <w:unhideWhenUsed/>
    <w:rsid w:val="00312EDE"/>
    <w:rPr>
      <w:color w:val="605E5C"/>
      <w:shd w:val="clear" w:color="auto" w:fill="E1DFDD"/>
    </w:rPr>
  </w:style>
  <w:style w:type="character" w:styleId="Lienhypertextesuivivisit">
    <w:name w:val="FollowedHyperlink"/>
    <w:basedOn w:val="Policepardfaut"/>
    <w:uiPriority w:val="99"/>
    <w:semiHidden/>
    <w:unhideWhenUsed/>
    <w:rsid w:val="00E44C5E"/>
    <w:rPr>
      <w:color w:val="954F72" w:themeColor="followedHyperlink"/>
      <w:u w:val="single"/>
    </w:rPr>
  </w:style>
  <w:style w:type="paragraph" w:styleId="Rvision">
    <w:name w:val="Revision"/>
    <w:hidden/>
    <w:uiPriority w:val="99"/>
    <w:semiHidden/>
    <w:rsid w:val="00F60C2E"/>
    <w:rPr>
      <w:sz w:val="24"/>
      <w:szCs w:val="24"/>
    </w:rPr>
  </w:style>
  <w:style w:type="paragraph" w:styleId="Paragraphedeliste">
    <w:name w:val="List Paragraph"/>
    <w:basedOn w:val="Normal"/>
    <w:uiPriority w:val="34"/>
    <w:qFormat/>
    <w:rsid w:val="00FD56A1"/>
    <w:pPr>
      <w:ind w:left="720"/>
      <w:contextualSpacing/>
    </w:pPr>
  </w:style>
  <w:style w:type="character" w:styleId="Accentuation">
    <w:name w:val="Emphasis"/>
    <w:basedOn w:val="Policepardfaut"/>
    <w:uiPriority w:val="20"/>
    <w:qFormat/>
    <w:rsid w:val="00462A2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fr_fr/Newsroom/Pressebild/5162"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fr_fr/Newsroom/Presse"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fr_fr/Newsroom/Pressebild/5163"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www.poettinger.at" TargetMode="External"/><Relationship Id="rId1" Type="http://schemas.openxmlformats.org/officeDocument/2006/relationships/hyperlink" Target="mailto:inge.steibl@poettinger.a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kument" ma:contentTypeID="0x0101003E846B2BAC5C5742ADB33AF0B4EB9E5C" ma:contentTypeVersion="10" ma:contentTypeDescription="Ein neues Dokument erstellen." ma:contentTypeScope="" ma:versionID="9ccd7ba0ce02ef418b919d466856ccfc">
  <xsd:schema xmlns:xsd="http://www.w3.org/2001/XMLSchema" xmlns:xs="http://www.w3.org/2001/XMLSchema" xmlns:p="http://schemas.microsoft.com/office/2006/metadata/properties" xmlns:ns2="2e6162c8-0fd4-4362-a522-7ea5efd53391" xmlns:ns3="b824cddf-6bef-409d-b860-79c95c6cd556" targetNamespace="http://schemas.microsoft.com/office/2006/metadata/properties" ma:root="true" ma:fieldsID="05a0303dd9854a3c3b83168edbe06213" ns2:_="" ns3:_="">
    <xsd:import namespace="2e6162c8-0fd4-4362-a522-7ea5efd53391"/>
    <xsd:import namespace="b824cddf-6bef-409d-b860-79c95c6cd5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6162c8-0fd4-4362-a522-7ea5efd5339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824cddf-6bef-409d-b860-79c95c6cd556"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824cddf-6bef-409d-b860-79c95c6cd556">
      <UserInfo>
        <DisplayName>Truesdell Travis</DisplayName>
        <AccountId>14</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7FC361-65C7-4062-824C-AD81A145CE94}">
  <ds:schemaRefs>
    <ds:schemaRef ds:uri="http://schemas.microsoft.com/office/2006/metadata/longProperties"/>
  </ds:schemaRefs>
</ds:datastoreItem>
</file>

<file path=customXml/itemProps2.xml><?xml version="1.0" encoding="utf-8"?>
<ds:datastoreItem xmlns:ds="http://schemas.openxmlformats.org/officeDocument/2006/customXml" ds:itemID="{58095541-DC7F-4B0B-89BB-B86DFE6173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6162c8-0fd4-4362-a522-7ea5efd53391"/>
    <ds:schemaRef ds:uri="b824cddf-6bef-409d-b860-79c95c6cd5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72E36F-1DEA-4438-B733-2C797E606EC7}">
  <ds:schemaRefs>
    <ds:schemaRef ds:uri="http://schemas.microsoft.com/office/2006/metadata/properties"/>
    <ds:schemaRef ds:uri="http://schemas.microsoft.com/office/infopath/2007/PartnerControls"/>
    <ds:schemaRef ds:uri="b824cddf-6bef-409d-b860-79c95c6cd556"/>
  </ds:schemaRefs>
</ds:datastoreItem>
</file>

<file path=customXml/itemProps4.xml><?xml version="1.0" encoding="utf-8"?>
<ds:datastoreItem xmlns:ds="http://schemas.openxmlformats.org/officeDocument/2006/customXml" ds:itemID="{D2A479C4-65FB-4C0C-8A27-DD06892930C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346</Words>
  <Characters>2371</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JUMBO neu</vt:lpstr>
    </vt:vector>
  </TitlesOfParts>
  <Company>PÖTTINGER Maschinenfabrik GmbH</Company>
  <LinksUpToDate>false</LinksUpToDate>
  <CharactersWithSpaces>2712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PÖTTINGER CONNECT</dc:title>
  <dc:subject>PÖTTINGER Landtechnik GmbH</dc:subject>
  <dc:creator>steiing</dc:creator>
  <cp:keywords/>
  <dc:description/>
  <cp:lastModifiedBy>Dutter Dorothee</cp:lastModifiedBy>
  <cp:revision>5</cp:revision>
  <cp:lastPrinted>2022-03-22T10:36:00Z</cp:lastPrinted>
  <dcterms:created xsi:type="dcterms:W3CDTF">2022-03-29T06:49:00Z</dcterms:created>
  <dcterms:modified xsi:type="dcterms:W3CDTF">2022-06-09T12:53:00Z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Truesdell Travis</vt:lpwstr>
  </property>
  <property fmtid="{D5CDD505-2E9C-101B-9397-08002B2CF9AE}" pid="3" name="SharedWithUsers">
    <vt:lpwstr>14;#Truesdell Travis</vt:lpwstr>
  </property>
  <property fmtid="{D5CDD505-2E9C-101B-9397-08002B2CF9AE}" pid="4" name="ContentTypeId">
    <vt:lpwstr>0x0101003E846B2BAC5C5742ADB33AF0B4EB9E5C</vt:lpwstr>
  </property>
</Properties>
</file>